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C1" w:rsidRDefault="007A6F34" w:rsidP="007A6F34">
      <w:pPr>
        <w:jc w:val="center"/>
        <w:rPr>
          <w:sz w:val="40"/>
          <w:szCs w:val="40"/>
        </w:rPr>
      </w:pPr>
      <w:r>
        <w:rPr>
          <w:sz w:val="40"/>
          <w:szCs w:val="40"/>
        </w:rPr>
        <w:t>Oak Hills</w:t>
      </w:r>
    </w:p>
    <w:p w:rsidR="007A6F34" w:rsidRDefault="007A6F34" w:rsidP="007A6F34">
      <w:pPr>
        <w:jc w:val="center"/>
        <w:rPr>
          <w:sz w:val="40"/>
          <w:szCs w:val="40"/>
        </w:rPr>
      </w:pPr>
      <w:r>
        <w:rPr>
          <w:sz w:val="40"/>
          <w:szCs w:val="40"/>
        </w:rPr>
        <w:t>1</w:t>
      </w:r>
      <w:r w:rsidRPr="007A6F34">
        <w:rPr>
          <w:sz w:val="40"/>
          <w:szCs w:val="40"/>
          <w:vertAlign w:val="superscript"/>
        </w:rPr>
        <w:t>st</w:t>
      </w:r>
      <w:r>
        <w:rPr>
          <w:sz w:val="40"/>
          <w:szCs w:val="40"/>
        </w:rPr>
        <w:t xml:space="preserve"> and 2</w:t>
      </w:r>
      <w:r w:rsidRPr="007A6F34">
        <w:rPr>
          <w:sz w:val="40"/>
          <w:szCs w:val="40"/>
          <w:vertAlign w:val="superscript"/>
        </w:rPr>
        <w:t>nd</w:t>
      </w:r>
      <w:r>
        <w:rPr>
          <w:sz w:val="40"/>
          <w:szCs w:val="40"/>
        </w:rPr>
        <w:t xml:space="preserve"> Quarter Combined</w:t>
      </w:r>
    </w:p>
    <w:p w:rsidR="007A6F34" w:rsidRPr="007A6F34" w:rsidRDefault="007A6F34" w:rsidP="007A6F34">
      <w:pPr>
        <w:jc w:val="center"/>
        <w:rPr>
          <w:sz w:val="40"/>
          <w:szCs w:val="40"/>
        </w:rPr>
      </w:pPr>
      <w:bookmarkStart w:id="0" w:name="_GoBack"/>
      <w:r w:rsidRPr="007A6F34">
        <w:rPr>
          <w:i/>
          <w:noProof/>
        </w:rPr>
        <w:drawing>
          <wp:inline distT="0" distB="0" distL="0" distR="0" wp14:anchorId="50EE4B35" wp14:editId="1BF2AF68">
            <wp:extent cx="9563100" cy="5895975"/>
            <wp:effectExtent l="0" t="0" r="0" b="952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End w:id="0"/>
    </w:p>
    <w:sectPr w:rsidR="007A6F34" w:rsidRPr="007A6F34" w:rsidSect="007A6F3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F34"/>
    <w:rsid w:val="007A6F34"/>
    <w:rsid w:val="00BD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CD405-F3AE-49BF-B606-4D40D29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Totals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Sheet1!$A$2:$A$15</c:f>
              <c:strCache>
                <c:ptCount val="14"/>
                <c:pt idx="0">
                  <c:v>&gt;$100,000 to &lt;$125,000</c:v>
                </c:pt>
                <c:pt idx="1">
                  <c:v>&gt;$125,000 to &lt;$150,000</c:v>
                </c:pt>
                <c:pt idx="2">
                  <c:v>&gt;$150,000 to &lt;$175,000</c:v>
                </c:pt>
                <c:pt idx="3">
                  <c:v>&gt;$175,000 to &lt;$200,000</c:v>
                </c:pt>
                <c:pt idx="4">
                  <c:v>&gt;$200,000 to &lt;$225,000</c:v>
                </c:pt>
                <c:pt idx="5">
                  <c:v>&gt;$225,000 to &lt;$250,000</c:v>
                </c:pt>
                <c:pt idx="6">
                  <c:v>&gt;$250,000 to &lt;$275,000</c:v>
                </c:pt>
                <c:pt idx="7">
                  <c:v>&gt;$275,000 to &lt;$300,000</c:v>
                </c:pt>
                <c:pt idx="8">
                  <c:v>&gt;$300,000 to &lt;$325,000</c:v>
                </c:pt>
                <c:pt idx="9">
                  <c:v>&gt;$325,000 to &lt;$350,000</c:v>
                </c:pt>
                <c:pt idx="10">
                  <c:v>&gt;$350,000 to &lt;$400,000</c:v>
                </c:pt>
                <c:pt idx="11">
                  <c:v>&gt;$400,000 to &lt;$450,000</c:v>
                </c:pt>
                <c:pt idx="12">
                  <c:v>&gt;$450,000 to &lt;$500,000</c:v>
                </c:pt>
                <c:pt idx="13">
                  <c:v>&gt;$500,000 and up</c:v>
                </c:pt>
              </c:strCache>
            </c:strRef>
          </c:cat>
          <c:val>
            <c:numRef>
              <c:f>Sheet1!$B$2:$B$15</c:f>
              <c:numCache>
                <c:formatCode>General</c:formatCode>
                <c:ptCount val="14"/>
                <c:pt idx="3">
                  <c:v>1</c:v>
                </c:pt>
                <c:pt idx="4">
                  <c:v>4</c:v>
                </c:pt>
                <c:pt idx="5">
                  <c:v>8</c:v>
                </c:pt>
                <c:pt idx="6">
                  <c:v>5</c:v>
                </c:pt>
                <c:pt idx="7">
                  <c:v>8</c:v>
                </c:pt>
                <c:pt idx="8">
                  <c:v>6</c:v>
                </c:pt>
                <c:pt idx="9">
                  <c:v>8</c:v>
                </c:pt>
                <c:pt idx="10">
                  <c:v>16</c:v>
                </c:pt>
                <c:pt idx="11">
                  <c:v>10</c:v>
                </c:pt>
                <c:pt idx="12">
                  <c:v>7</c:v>
                </c:pt>
                <c:pt idx="13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391853288"/>
        <c:axId val="391852504"/>
        <c:axId val="0"/>
      </c:bar3DChart>
      <c:catAx>
        <c:axId val="39185328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91852504"/>
        <c:crosses val="autoZero"/>
        <c:auto val="1"/>
        <c:lblAlgn val="ctr"/>
        <c:lblOffset val="100"/>
        <c:noMultiLvlLbl val="0"/>
      </c:catAx>
      <c:valAx>
        <c:axId val="3918525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3918532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0.15637</cdr:x>
      <cdr:y>0.07916</cdr:y>
    </cdr:from>
    <cdr:to>
      <cdr:x>0.52789</cdr:x>
      <cdr:y>0.11955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1495425" y="466725"/>
          <a:ext cx="355282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3,935</a:t>
          </a:r>
          <a:r>
            <a:rPr lang="en-US" sz="1000" i="1"/>
            <a:t> - Average Year Built </a:t>
          </a:r>
          <a:r>
            <a:rPr lang="en-US" sz="1000" b="1" i="1"/>
            <a:t>2004</a:t>
          </a:r>
        </a:p>
      </cdr:txBody>
    </cdr:sp>
  </cdr:relSizeAnchor>
  <cdr:relSizeAnchor xmlns:cdr="http://schemas.openxmlformats.org/drawingml/2006/chartDrawing">
    <cdr:from>
      <cdr:x>0.15339</cdr:x>
      <cdr:y>0.14378</cdr:y>
    </cdr:from>
    <cdr:to>
      <cdr:x>0.55478</cdr:x>
      <cdr:y>0.18578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66850" y="847725"/>
          <a:ext cx="38385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3,484</a:t>
          </a:r>
          <a:r>
            <a:rPr lang="en-US" sz="1000" i="1"/>
            <a:t> -</a:t>
          </a:r>
          <a:r>
            <a:rPr lang="en-US" sz="1000" i="1" baseline="0"/>
            <a:t> Average Year Built </a:t>
          </a:r>
          <a:r>
            <a:rPr lang="en-US" sz="1000" b="1" i="1" baseline="0"/>
            <a:t>2002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0.15438</cdr:x>
      <cdr:y>0.21163</cdr:y>
    </cdr:from>
    <cdr:to>
      <cdr:x>0.57171</cdr:x>
      <cdr:y>0.25363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476375" y="1247775"/>
          <a:ext cx="39909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/>
            <a:t> 2,765 </a:t>
          </a:r>
          <a:r>
            <a:rPr lang="en-US" sz="1000" i="1"/>
            <a:t>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0.15637</cdr:x>
      <cdr:y>0.27787</cdr:y>
    </cdr:from>
    <cdr:to>
      <cdr:x>0.51992</cdr:x>
      <cdr:y>0.32149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495425" y="1638300"/>
          <a:ext cx="347662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2,764 </a:t>
          </a:r>
          <a:r>
            <a:rPr lang="en-US" sz="1000" i="1" baseline="0"/>
            <a:t>- Average Year Built </a:t>
          </a:r>
          <a:r>
            <a:rPr lang="en-US" sz="1000" b="1" i="1" baseline="0"/>
            <a:t>2000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0.15538</cdr:x>
      <cdr:y>0.34249</cdr:y>
    </cdr:from>
    <cdr:to>
      <cdr:x>0.46713</cdr:x>
      <cdr:y>0.38449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1485900" y="2019300"/>
          <a:ext cx="298132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2,488 </a:t>
          </a:r>
          <a:r>
            <a:rPr lang="en-US" sz="1000" i="1"/>
            <a:t>- Average Year Built </a:t>
          </a:r>
          <a:r>
            <a:rPr lang="en-US" sz="1000" b="1" i="1"/>
            <a:t>2000</a:t>
          </a:r>
        </a:p>
      </cdr:txBody>
    </cdr:sp>
  </cdr:relSizeAnchor>
  <cdr:relSizeAnchor xmlns:cdr="http://schemas.openxmlformats.org/drawingml/2006/chartDrawing">
    <cdr:from>
      <cdr:x>0.15538</cdr:x>
      <cdr:y>0.40872</cdr:y>
    </cdr:from>
    <cdr:to>
      <cdr:x>0.49303</cdr:x>
      <cdr:y>0.44911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485900" y="2409825"/>
          <a:ext cx="32289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2,218 </a:t>
          </a:r>
          <a:r>
            <a:rPr lang="en-US" sz="1000" i="1"/>
            <a:t>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0.15538</cdr:x>
      <cdr:y>0.47658</cdr:y>
    </cdr:from>
    <cdr:to>
      <cdr:x>0.48506</cdr:x>
      <cdr:y>0.51858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1485900" y="2809875"/>
          <a:ext cx="31527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2,416 </a:t>
          </a:r>
          <a:r>
            <a:rPr lang="en-US" sz="1000" i="1"/>
            <a:t>- Average</a:t>
          </a:r>
          <a:r>
            <a:rPr lang="en-US" sz="1000" i="1" baseline="0"/>
            <a:t> Year Built </a:t>
          </a:r>
          <a:r>
            <a:rPr lang="en-US" sz="1000" b="1" i="1" baseline="0"/>
            <a:t>1998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0.15538</cdr:x>
      <cdr:y>0.54443</cdr:y>
    </cdr:from>
    <cdr:to>
      <cdr:x>0.47311</cdr:x>
      <cdr:y>0.58481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1485900" y="3209925"/>
          <a:ext cx="3038475" cy="2381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</a:t>
          </a:r>
          <a:r>
            <a:rPr lang="en-US" sz="1000" b="1" i="1" baseline="0"/>
            <a:t> 2,592 </a:t>
          </a:r>
          <a:r>
            <a:rPr lang="en-US" sz="1000" i="1" baseline="0"/>
            <a:t>- Average Year Built </a:t>
          </a:r>
          <a:r>
            <a:rPr lang="en-US" sz="1000" b="1" i="1" baseline="0"/>
            <a:t>1999</a:t>
          </a:r>
          <a:endParaRPr lang="en-US" sz="1000" b="1" i="1"/>
        </a:p>
      </cdr:txBody>
    </cdr:sp>
  </cdr:relSizeAnchor>
  <cdr:relSizeAnchor xmlns:cdr="http://schemas.openxmlformats.org/drawingml/2006/chartDrawing">
    <cdr:from>
      <cdr:x>0.15438</cdr:x>
      <cdr:y>0.60743</cdr:y>
    </cdr:from>
    <cdr:to>
      <cdr:x>0.47211</cdr:x>
      <cdr:y>0.64943</cdr:y>
    </cdr:to>
    <cdr:sp macro="" textlink="">
      <cdr:nvSpPr>
        <cdr:cNvPr id="10" name="Text Box 9"/>
        <cdr:cNvSpPr txBox="1"/>
      </cdr:nvSpPr>
      <cdr:spPr>
        <a:xfrm xmlns:a="http://schemas.openxmlformats.org/drawingml/2006/main">
          <a:off x="1476375" y="3581400"/>
          <a:ext cx="3038475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1,826</a:t>
          </a:r>
          <a:r>
            <a:rPr lang="en-US" sz="1000" i="1"/>
            <a:t> - Average Year Built </a:t>
          </a:r>
          <a:r>
            <a:rPr lang="en-US" sz="1000" b="1" i="1"/>
            <a:t>1995</a:t>
          </a:r>
        </a:p>
      </cdr:txBody>
    </cdr:sp>
  </cdr:relSizeAnchor>
  <cdr:relSizeAnchor xmlns:cdr="http://schemas.openxmlformats.org/drawingml/2006/chartDrawing">
    <cdr:from>
      <cdr:x>0.15637</cdr:x>
      <cdr:y>0.67528</cdr:y>
    </cdr:from>
    <cdr:to>
      <cdr:x>0.4502</cdr:x>
      <cdr:y>0.7189</cdr:y>
    </cdr:to>
    <cdr:sp macro="" textlink="">
      <cdr:nvSpPr>
        <cdr:cNvPr id="11" name="Text Box 10"/>
        <cdr:cNvSpPr txBox="1"/>
      </cdr:nvSpPr>
      <cdr:spPr>
        <a:xfrm xmlns:a="http://schemas.openxmlformats.org/drawingml/2006/main">
          <a:off x="1495425" y="3981450"/>
          <a:ext cx="2809875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1,954</a:t>
          </a:r>
          <a:r>
            <a:rPr lang="en-US" sz="1000" i="1"/>
            <a:t> - Average Year Built </a:t>
          </a:r>
          <a:r>
            <a:rPr lang="en-US" sz="1000" b="1" i="1"/>
            <a:t>1999</a:t>
          </a:r>
        </a:p>
      </cdr:txBody>
    </cdr:sp>
  </cdr:relSizeAnchor>
  <cdr:relSizeAnchor xmlns:cdr="http://schemas.openxmlformats.org/drawingml/2006/chartDrawing">
    <cdr:from>
      <cdr:x>0.15538</cdr:x>
      <cdr:y>0.74152</cdr:y>
    </cdr:from>
    <cdr:to>
      <cdr:x>0.53785</cdr:x>
      <cdr:y>0.79483</cdr:y>
    </cdr:to>
    <cdr:sp macro="" textlink="">
      <cdr:nvSpPr>
        <cdr:cNvPr id="12" name="Text Box 11"/>
        <cdr:cNvSpPr txBox="1"/>
      </cdr:nvSpPr>
      <cdr:spPr>
        <a:xfrm xmlns:a="http://schemas.openxmlformats.org/drawingml/2006/main">
          <a:off x="1485900" y="4371975"/>
          <a:ext cx="3657600" cy="3143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000" i="1"/>
            <a:t>Average SqFt </a:t>
          </a:r>
          <a:r>
            <a:rPr lang="en-US" sz="1000" b="1" i="1"/>
            <a:t>1,260</a:t>
          </a:r>
          <a:r>
            <a:rPr lang="en-US" sz="1000" i="1"/>
            <a:t> - Average Year Built </a:t>
          </a:r>
          <a:r>
            <a:rPr lang="en-US" sz="1000" b="1" i="1"/>
            <a:t>1982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Fidelity National Financial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Jason</dc:creator>
  <cp:keywords/>
  <dc:description/>
  <cp:lastModifiedBy>Walker, Jason</cp:lastModifiedBy>
  <cp:revision>1</cp:revision>
  <dcterms:created xsi:type="dcterms:W3CDTF">2016-08-22T17:06:00Z</dcterms:created>
  <dcterms:modified xsi:type="dcterms:W3CDTF">2016-08-22T17:16:00Z</dcterms:modified>
</cp:coreProperties>
</file>